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76" w:rsidRPr="00AE10BB" w:rsidRDefault="00453476" w:rsidP="00453476">
      <w:pPr>
        <w:spacing w:line="360" w:lineRule="auto"/>
        <w:jc w:val="both"/>
        <w:rPr>
          <w:rFonts w:ascii="Palatino Linotype" w:hAnsi="Palatino Linotype"/>
          <w:b/>
        </w:rPr>
      </w:pPr>
      <w:bookmarkStart w:id="0" w:name="_GoBack"/>
      <w:bookmarkEnd w:id="0"/>
      <w:r>
        <w:rPr>
          <w:rFonts w:ascii="Palatino Linotype" w:hAnsi="Palatino Linotype"/>
          <w:b/>
        </w:rPr>
        <w:t>VOTO PARTICULAR CONCURRENTE QUE FORMULAN LA COMISIONADA PRESIDENT</w:t>
      </w:r>
      <w:r w:rsidR="00F7635E">
        <w:rPr>
          <w:rFonts w:ascii="Palatino Linotype" w:hAnsi="Palatino Linotype"/>
          <w:b/>
        </w:rPr>
        <w:t>A</w:t>
      </w:r>
      <w:r w:rsidRPr="00563D0F">
        <w:rPr>
          <w:rFonts w:ascii="Palatino Linotype" w:hAnsi="Palatino Linotype"/>
          <w:b/>
        </w:rPr>
        <w:t xml:space="preserve"> </w:t>
      </w:r>
      <w:r>
        <w:rPr>
          <w:rFonts w:ascii="Palatino Linotype" w:hAnsi="Palatino Linotype"/>
          <w:b/>
        </w:rPr>
        <w:t>ZULEMA MARTÍNEZ SÁNCHEZ Y</w:t>
      </w:r>
      <w:r w:rsidRPr="00563D0F">
        <w:rPr>
          <w:rFonts w:ascii="Palatino Linotype" w:hAnsi="Palatino Linotype"/>
          <w:b/>
        </w:rPr>
        <w:t xml:space="preserve"> </w:t>
      </w:r>
      <w:r>
        <w:rPr>
          <w:rFonts w:ascii="Palatino Linotype" w:hAnsi="Palatino Linotype"/>
          <w:b/>
        </w:rPr>
        <w:t>LA COMISIONADA EVA ABAID YAPUR</w:t>
      </w:r>
      <w:r w:rsidRPr="00563D0F">
        <w:rPr>
          <w:rFonts w:ascii="Palatino Linotype" w:hAnsi="Palatino Linotype"/>
          <w:b/>
        </w:rPr>
        <w:t>, EN RELACIÓN CON LA RESOLUCIÓN DICTADA POR EL PLENO D</w:t>
      </w:r>
      <w:r>
        <w:rPr>
          <w:rFonts w:ascii="Palatino Linotype" w:hAnsi="Palatino Linotype"/>
          <w:b/>
        </w:rPr>
        <w:t xml:space="preserve">EL INSTITUTO DE TRANSPARENCIA, </w:t>
      </w:r>
      <w:r w:rsidRPr="00563D0F">
        <w:rPr>
          <w:rFonts w:ascii="Palatino Linotype" w:hAnsi="Palatino Linotype"/>
          <w:b/>
        </w:rPr>
        <w:t xml:space="preserve">ACCESO A LA INFORMACIÓN PÚBLICA Y PROTECCIÓN DE DATOS PERSONALES DEL ESTADO DE MÉXICO Y MUNICIPIOS, EN LA </w:t>
      </w:r>
      <w:r>
        <w:rPr>
          <w:rFonts w:ascii="Palatino Linotype" w:hAnsi="Palatino Linotype"/>
          <w:b/>
        </w:rPr>
        <w:t xml:space="preserve">TERCERA </w:t>
      </w:r>
      <w:r w:rsidRPr="00563D0F">
        <w:rPr>
          <w:rFonts w:ascii="Palatino Linotype" w:hAnsi="Palatino Linotype"/>
          <w:b/>
        </w:rPr>
        <w:t xml:space="preserve">SESIÓN ORDINARIA DE FECHA </w:t>
      </w:r>
      <w:r>
        <w:rPr>
          <w:rFonts w:ascii="Palatino Linotype" w:hAnsi="Palatino Linotype"/>
          <w:b/>
        </w:rPr>
        <w:t>VEINTITRÉS DE ENERO DE DOS MIL DIECINUEVE</w:t>
      </w:r>
      <w:r w:rsidRPr="00AE10BB">
        <w:rPr>
          <w:rFonts w:ascii="Palatino Linotype" w:hAnsi="Palatino Linotype"/>
          <w:b/>
        </w:rPr>
        <w:t xml:space="preserve">, EN EL RECURSO DE REVISIÓN </w:t>
      </w:r>
      <w:r w:rsidRPr="00AE10BB">
        <w:rPr>
          <w:rFonts w:ascii="Palatino Linotype" w:hAnsi="Palatino Linotype" w:cs="Arial"/>
          <w:b/>
          <w:bCs/>
          <w:lang w:eastAsia="es-MX"/>
        </w:rPr>
        <w:t>0</w:t>
      </w:r>
      <w:r>
        <w:rPr>
          <w:rFonts w:ascii="Palatino Linotype" w:hAnsi="Palatino Linotype" w:cs="Arial"/>
          <w:b/>
          <w:bCs/>
          <w:lang w:eastAsia="es-MX"/>
        </w:rPr>
        <w:t>4231/INFOEM/IP/RR/2018.</w:t>
      </w:r>
    </w:p>
    <w:p w:rsidR="00453476" w:rsidRPr="00563D0F" w:rsidRDefault="00453476" w:rsidP="00453476">
      <w:pPr>
        <w:spacing w:line="360" w:lineRule="auto"/>
        <w:jc w:val="both"/>
        <w:rPr>
          <w:rFonts w:ascii="Palatino Linotype" w:hAnsi="Palatino Linotype"/>
          <w:b/>
        </w:rPr>
      </w:pPr>
    </w:p>
    <w:p w:rsidR="00453476" w:rsidRDefault="00453476" w:rsidP="00453476">
      <w:pPr>
        <w:spacing w:line="360" w:lineRule="auto"/>
        <w:jc w:val="both"/>
        <w:rPr>
          <w:rFonts w:ascii="Palatino Linotype" w:hAnsi="Palatino Linotype"/>
        </w:rPr>
      </w:pPr>
      <w:r w:rsidRPr="009A256B">
        <w:rPr>
          <w:rFonts w:ascii="Palatino Linotype" w:hAnsi="Palatino Linotype"/>
        </w:rPr>
        <w:t xml:space="preserve">Con fundamento en lo dispuesto por el artículo </w:t>
      </w:r>
      <w:r w:rsidR="00395AF7">
        <w:rPr>
          <w:rFonts w:ascii="Palatino Linotype" w:hAnsi="Palatino Linotype"/>
        </w:rPr>
        <w:t>14</w:t>
      </w:r>
      <w:r w:rsidR="00F7635E">
        <w:rPr>
          <w:rFonts w:ascii="Palatino Linotype" w:hAnsi="Palatino Linotype"/>
        </w:rPr>
        <w:t>,</w:t>
      </w:r>
      <w:r w:rsidR="00395AF7">
        <w:rPr>
          <w:rFonts w:ascii="Palatino Linotype" w:hAnsi="Palatino Linotype"/>
        </w:rPr>
        <w:t xml:space="preserve"> fracción XI</w:t>
      </w:r>
      <w:r w:rsidRPr="009A256B">
        <w:rPr>
          <w:rFonts w:ascii="Palatino Linotype" w:hAnsi="Palatino Linotype"/>
        </w:rPr>
        <w:t xml:space="preserve"> del Reglamento Interior del Instituto de Transparencia, Acceso a la Información Pública y Protección de Datos Personales del </w:t>
      </w:r>
      <w:r w:rsidR="00395AF7">
        <w:rPr>
          <w:rFonts w:ascii="Palatino Linotype" w:hAnsi="Palatino Linotype"/>
        </w:rPr>
        <w:t>Estado de México y Municipios, l</w:t>
      </w:r>
      <w:r w:rsidRPr="009A256B">
        <w:rPr>
          <w:rFonts w:ascii="Palatino Linotype" w:hAnsi="Palatino Linotype"/>
        </w:rPr>
        <w:t>a Comisionada</w:t>
      </w:r>
      <w:r w:rsidR="00F7635E">
        <w:rPr>
          <w:rFonts w:ascii="Palatino Linotype" w:hAnsi="Palatino Linotype"/>
        </w:rPr>
        <w:t xml:space="preserve"> Presidenta</w:t>
      </w:r>
      <w:r w:rsidRPr="009A256B">
        <w:rPr>
          <w:rFonts w:ascii="Palatino Linotype" w:hAnsi="Palatino Linotype"/>
        </w:rPr>
        <w:t xml:space="preserve"> </w:t>
      </w:r>
      <w:r w:rsidR="00395AF7" w:rsidRPr="009A256B">
        <w:rPr>
          <w:rFonts w:ascii="Palatino Linotype" w:hAnsi="Palatino Linotype"/>
        </w:rPr>
        <w:t>Zulema Martínez Sánchez</w:t>
      </w:r>
      <w:r w:rsidR="00395AF7">
        <w:rPr>
          <w:rFonts w:ascii="Palatino Linotype" w:hAnsi="Palatino Linotype"/>
        </w:rPr>
        <w:t xml:space="preserve"> y</w:t>
      </w:r>
      <w:r w:rsidRPr="004E16B5">
        <w:rPr>
          <w:rFonts w:ascii="Palatino Linotype" w:hAnsi="Palatino Linotype"/>
        </w:rPr>
        <w:t xml:space="preserve"> </w:t>
      </w:r>
      <w:r w:rsidR="00F7635E">
        <w:rPr>
          <w:rFonts w:ascii="Palatino Linotype" w:hAnsi="Palatino Linotype"/>
        </w:rPr>
        <w:t xml:space="preserve">la Comisionada </w:t>
      </w:r>
      <w:r w:rsidR="00395AF7">
        <w:rPr>
          <w:rFonts w:ascii="Palatino Linotype" w:hAnsi="Palatino Linotype"/>
        </w:rPr>
        <w:t>Eva Abaid Yapur,</w:t>
      </w:r>
      <w:r w:rsidRPr="004E16B5">
        <w:rPr>
          <w:rFonts w:ascii="Palatino Linotype" w:hAnsi="Palatino Linotype"/>
        </w:rPr>
        <w:t xml:space="preserve"> </w:t>
      </w:r>
      <w:r w:rsidRPr="009A256B">
        <w:rPr>
          <w:rFonts w:ascii="Palatino Linotype" w:hAnsi="Palatino Linotype"/>
        </w:rPr>
        <w:t xml:space="preserve">emiten </w:t>
      </w:r>
      <w:r>
        <w:rPr>
          <w:rFonts w:ascii="Palatino Linotype" w:hAnsi="Palatino Linotype"/>
        </w:rPr>
        <w:t>VOTO PARTICULAR CONCURRENTE</w:t>
      </w:r>
      <w:r w:rsidRPr="009A256B">
        <w:rPr>
          <w:rFonts w:ascii="Palatino Linotype" w:hAnsi="Palatino Linotype"/>
        </w:rPr>
        <w:t xml:space="preserve"> respecto a la resolución dictada en el recurso de revisión </w:t>
      </w:r>
      <w:r>
        <w:rPr>
          <w:rFonts w:ascii="Palatino Linotype" w:hAnsi="Palatino Linotype"/>
        </w:rPr>
        <w:t>0</w:t>
      </w:r>
      <w:r w:rsidR="00395AF7">
        <w:rPr>
          <w:rFonts w:ascii="Palatino Linotype" w:hAnsi="Palatino Linotype"/>
        </w:rPr>
        <w:t>4231</w:t>
      </w:r>
      <w:r w:rsidRPr="009A256B">
        <w:rPr>
          <w:rFonts w:ascii="Palatino Linotype" w:hAnsi="Palatino Linotype"/>
        </w:rPr>
        <w:t>/INFOEM/IP/RR/201</w:t>
      </w:r>
      <w:r w:rsidR="00395AF7">
        <w:rPr>
          <w:rFonts w:ascii="Palatino Linotype" w:hAnsi="Palatino Linotype"/>
        </w:rPr>
        <w:t>8</w:t>
      </w:r>
      <w:r w:rsidRPr="009A256B">
        <w:rPr>
          <w:rFonts w:ascii="Palatino Linotype" w:hAnsi="Palatino Linotype"/>
        </w:rPr>
        <w:t xml:space="preserve">, pronunciada por el Pleno de este Instituto ante el proyecto presentado por </w:t>
      </w:r>
      <w:r>
        <w:rPr>
          <w:rFonts w:ascii="Palatino Linotype" w:hAnsi="Palatino Linotype"/>
        </w:rPr>
        <w:t>el</w:t>
      </w:r>
      <w:r w:rsidRPr="009A256B">
        <w:rPr>
          <w:rFonts w:ascii="Palatino Linotype" w:hAnsi="Palatino Linotype"/>
        </w:rPr>
        <w:t xml:space="preserve"> Comisionad</w:t>
      </w:r>
      <w:r>
        <w:rPr>
          <w:rFonts w:ascii="Palatino Linotype" w:hAnsi="Palatino Linotype"/>
        </w:rPr>
        <w:t>o</w:t>
      </w:r>
      <w:r w:rsidRPr="009A256B">
        <w:rPr>
          <w:rFonts w:ascii="Palatino Linotype" w:hAnsi="Palatino Linotype"/>
        </w:rPr>
        <w:t xml:space="preserve"> </w:t>
      </w:r>
      <w:r w:rsidR="00395AF7">
        <w:rPr>
          <w:rFonts w:ascii="Palatino Linotype" w:hAnsi="Palatino Linotype"/>
        </w:rPr>
        <w:t>Luis Gustavo Parra Noriega</w:t>
      </w:r>
      <w:r w:rsidRPr="009A256B">
        <w:rPr>
          <w:rFonts w:ascii="Palatino Linotype" w:hAnsi="Palatino Linotype"/>
        </w:rPr>
        <w:t xml:space="preserve">, </w:t>
      </w:r>
      <w:r>
        <w:rPr>
          <w:rFonts w:ascii="Palatino Linotype" w:hAnsi="Palatino Linotype"/>
        </w:rPr>
        <w:t>voto que es del tenor siguiente</w:t>
      </w:r>
      <w:r w:rsidRPr="009A256B">
        <w:rPr>
          <w:rFonts w:ascii="Palatino Linotype" w:hAnsi="Palatino Linotype"/>
        </w:rPr>
        <w:t>:</w:t>
      </w:r>
    </w:p>
    <w:p w:rsidR="00453476" w:rsidRPr="009A256B" w:rsidRDefault="00453476" w:rsidP="00453476">
      <w:pPr>
        <w:spacing w:line="360" w:lineRule="auto"/>
        <w:jc w:val="both"/>
        <w:rPr>
          <w:rFonts w:ascii="Palatino Linotype" w:hAnsi="Palatino Linotype"/>
        </w:rPr>
      </w:pPr>
    </w:p>
    <w:p w:rsidR="00453476" w:rsidRPr="00A36874" w:rsidRDefault="00453476" w:rsidP="00453476">
      <w:pPr>
        <w:spacing w:line="360" w:lineRule="auto"/>
        <w:jc w:val="both"/>
        <w:rPr>
          <w:rFonts w:ascii="Palatino Linotype" w:hAnsi="Palatino Linotype"/>
        </w:rPr>
      </w:pPr>
      <w:r>
        <w:rPr>
          <w:rFonts w:ascii="Palatino Linotype" w:hAnsi="Palatino Linotype"/>
        </w:rPr>
        <w:t>Es de destacar que la</w:t>
      </w:r>
      <w:r w:rsidRPr="009A256B">
        <w:rPr>
          <w:rFonts w:ascii="Palatino Linotype" w:hAnsi="Palatino Linotype"/>
        </w:rPr>
        <w:t>s que suscriben compartimos el proyecto sometido ante el Pleno de este Instituto,</w:t>
      </w:r>
      <w:r>
        <w:rPr>
          <w:rFonts w:ascii="Palatino Linotype" w:hAnsi="Palatino Linotype"/>
        </w:rPr>
        <w:t xml:space="preserve"> </w:t>
      </w:r>
      <w:r w:rsidR="00395AF7">
        <w:rPr>
          <w:rFonts w:ascii="Palatino Linotype" w:hAnsi="Palatino Linotype"/>
        </w:rPr>
        <w:t xml:space="preserve">empero </w:t>
      </w:r>
      <w:r w:rsidR="00A36874">
        <w:rPr>
          <w:rFonts w:ascii="Palatino Linotype" w:hAnsi="Palatino Linotype"/>
        </w:rPr>
        <w:t>resulta necesario el realizar las precisiones siguientes, que conllevan a compartir el sentido del voto.</w:t>
      </w:r>
    </w:p>
    <w:p w:rsidR="00A36874" w:rsidRPr="00C10B08" w:rsidRDefault="00453476" w:rsidP="00453476">
      <w:pPr>
        <w:spacing w:line="360" w:lineRule="auto"/>
        <w:jc w:val="both"/>
        <w:rPr>
          <w:rFonts w:ascii="Palatino Linotype" w:hAnsi="Palatino Linotype"/>
        </w:rPr>
      </w:pPr>
      <w:r>
        <w:rPr>
          <w:rFonts w:ascii="Palatino Linotype" w:hAnsi="Palatino Linotype"/>
        </w:rPr>
        <w:lastRenderedPageBreak/>
        <w:t xml:space="preserve">Primeramente, </w:t>
      </w:r>
      <w:r w:rsidR="00A36874">
        <w:rPr>
          <w:rFonts w:ascii="Palatino Linotype" w:hAnsi="Palatino Linotype"/>
        </w:rPr>
        <w:t xml:space="preserve">surge la necesidad de recordar que el </w:t>
      </w:r>
      <w:r w:rsidR="00F7635E">
        <w:rPr>
          <w:rFonts w:ascii="Palatino Linotype" w:hAnsi="Palatino Linotype"/>
          <w:b/>
        </w:rPr>
        <w:t>R</w:t>
      </w:r>
      <w:r w:rsidR="00A36874">
        <w:rPr>
          <w:rFonts w:ascii="Palatino Linotype" w:hAnsi="Palatino Linotype"/>
          <w:b/>
        </w:rPr>
        <w:t xml:space="preserve">ecurrente </w:t>
      </w:r>
      <w:r w:rsidR="00A36874">
        <w:rPr>
          <w:rFonts w:ascii="Palatino Linotype" w:hAnsi="Palatino Linotype"/>
        </w:rPr>
        <w:t xml:space="preserve">peticionó le fuera entregado el </w:t>
      </w:r>
      <w:r w:rsidR="00A36874">
        <w:rPr>
          <w:rFonts w:ascii="Palatino Linotype" w:hAnsi="Palatino Linotype"/>
          <w:i/>
        </w:rPr>
        <w:t xml:space="preserve">“reporte de </w:t>
      </w:r>
      <w:r w:rsidR="000D3286">
        <w:rPr>
          <w:rFonts w:ascii="Palatino Linotype" w:hAnsi="Palatino Linotype"/>
          <w:i/>
        </w:rPr>
        <w:t>auditorías</w:t>
      </w:r>
      <w:r w:rsidR="00A36874">
        <w:rPr>
          <w:rFonts w:ascii="Palatino Linotype" w:hAnsi="Palatino Linotype"/>
          <w:i/>
        </w:rPr>
        <w:t xml:space="preserve"> internas</w:t>
      </w:r>
      <w:r w:rsidR="000D3286">
        <w:rPr>
          <w:rFonts w:ascii="Palatino Linotype" w:hAnsi="Palatino Linotype"/>
          <w:i/>
        </w:rPr>
        <w:t xml:space="preserve"> y hallazgos encontrados desde su implementación de la Universidad”</w:t>
      </w:r>
      <w:r w:rsidR="000D3286">
        <w:rPr>
          <w:rFonts w:ascii="Palatino Linotype" w:hAnsi="Palatino Linotype"/>
        </w:rPr>
        <w:t xml:space="preserve">, obteniendo como respuesta el pronunciamiento de los servidores públicos habilitados adscritos a las siguientes áreas que forman parte de la administración del </w:t>
      </w:r>
      <w:r w:rsidR="00F7635E">
        <w:rPr>
          <w:rFonts w:ascii="Palatino Linotype" w:hAnsi="Palatino Linotype"/>
          <w:b/>
        </w:rPr>
        <w:t>Sujeto Obligado</w:t>
      </w:r>
      <w:r w:rsidR="000D3286">
        <w:rPr>
          <w:rFonts w:ascii="Palatino Linotype" w:hAnsi="Palatino Linotype"/>
          <w:b/>
        </w:rPr>
        <w:t xml:space="preserve">, </w:t>
      </w:r>
      <w:r w:rsidR="000D3286" w:rsidRPr="000D3286">
        <w:rPr>
          <w:rFonts w:ascii="Palatino Linotype" w:hAnsi="Palatino Linotype"/>
        </w:rPr>
        <w:t>Secretaría de Rectoría y Servidor Público Habilitado de Rectoría</w:t>
      </w:r>
      <w:r w:rsidR="000D3286">
        <w:rPr>
          <w:rFonts w:ascii="Palatino Linotype" w:hAnsi="Palatino Linotype"/>
        </w:rPr>
        <w:t xml:space="preserve">; </w:t>
      </w:r>
      <w:r w:rsidR="000D3286" w:rsidRPr="000D3286">
        <w:rPr>
          <w:rFonts w:ascii="Palatino Linotype" w:hAnsi="Palatino Linotype"/>
        </w:rPr>
        <w:t>Subdirectora de Servicios Escolares</w:t>
      </w:r>
      <w:r w:rsidR="000D3286">
        <w:rPr>
          <w:rFonts w:ascii="Palatino Linotype" w:hAnsi="Palatino Linotype"/>
        </w:rPr>
        <w:t xml:space="preserve">; </w:t>
      </w:r>
      <w:r w:rsidR="000D3286" w:rsidRPr="000D3286">
        <w:rPr>
          <w:rFonts w:ascii="Palatino Linotype" w:hAnsi="Palatino Linotype"/>
        </w:rPr>
        <w:t>Encargado del Departamento de Recursos Financieros</w:t>
      </w:r>
      <w:r w:rsidR="000D3286">
        <w:rPr>
          <w:rFonts w:ascii="Palatino Linotype" w:hAnsi="Palatino Linotype"/>
        </w:rPr>
        <w:t xml:space="preserve">; </w:t>
      </w:r>
      <w:r w:rsidR="000D3286" w:rsidRPr="000D3286">
        <w:rPr>
          <w:rFonts w:ascii="Palatino Linotype" w:hAnsi="Palatino Linotype"/>
        </w:rPr>
        <w:t>Director de Planeación y Vinculación</w:t>
      </w:r>
      <w:r w:rsidR="000D3286">
        <w:rPr>
          <w:rFonts w:ascii="Palatino Linotype" w:hAnsi="Palatino Linotype"/>
        </w:rPr>
        <w:t xml:space="preserve">; </w:t>
      </w:r>
      <w:r w:rsidR="000D3286" w:rsidRPr="000D3286">
        <w:rPr>
          <w:rFonts w:ascii="Palatino Linotype" w:hAnsi="Palatino Linotype"/>
        </w:rPr>
        <w:t>Jefe del Departamento de Control Escolar</w:t>
      </w:r>
      <w:r w:rsidR="000D3286">
        <w:rPr>
          <w:rFonts w:ascii="Palatino Linotype" w:hAnsi="Palatino Linotype"/>
        </w:rPr>
        <w:t xml:space="preserve">; </w:t>
      </w:r>
      <w:r w:rsidR="000D3286" w:rsidRPr="000D3286">
        <w:rPr>
          <w:rFonts w:ascii="Palatino Linotype" w:hAnsi="Palatino Linotype"/>
        </w:rPr>
        <w:t>Jefe del Departamento de Tecnologías de la Información</w:t>
      </w:r>
      <w:r w:rsidR="000D3286">
        <w:rPr>
          <w:rFonts w:ascii="Palatino Linotype" w:hAnsi="Palatino Linotype"/>
        </w:rPr>
        <w:t xml:space="preserve">; </w:t>
      </w:r>
      <w:r w:rsidR="000D3286" w:rsidRPr="000D3286">
        <w:rPr>
          <w:rFonts w:ascii="Palatino Linotype" w:hAnsi="Palatino Linotype"/>
        </w:rPr>
        <w:t>Jefa del Departamento de Vinculación y Extensión</w:t>
      </w:r>
      <w:r w:rsidR="000D3286">
        <w:rPr>
          <w:rFonts w:ascii="Palatino Linotype" w:hAnsi="Palatino Linotype"/>
        </w:rPr>
        <w:t xml:space="preserve">; </w:t>
      </w:r>
      <w:r w:rsidR="000D3286" w:rsidRPr="000D3286">
        <w:rPr>
          <w:rFonts w:ascii="Palatino Linotype" w:hAnsi="Palatino Linotype"/>
        </w:rPr>
        <w:t>Directora de la División de Ingeniería en Informática</w:t>
      </w:r>
      <w:r w:rsidR="000D3286">
        <w:rPr>
          <w:rFonts w:ascii="Palatino Linotype" w:hAnsi="Palatino Linotype"/>
        </w:rPr>
        <w:t xml:space="preserve">; </w:t>
      </w:r>
      <w:r w:rsidR="000D3286" w:rsidRPr="000D3286">
        <w:rPr>
          <w:rFonts w:ascii="Palatino Linotype" w:hAnsi="Palatino Linotype"/>
        </w:rPr>
        <w:t>Directora de la División de Ingeniería Mecatrónica</w:t>
      </w:r>
      <w:r w:rsidR="000D3286">
        <w:rPr>
          <w:rFonts w:ascii="Palatino Linotype" w:hAnsi="Palatino Linotype"/>
        </w:rPr>
        <w:t xml:space="preserve">; </w:t>
      </w:r>
      <w:r w:rsidR="000D3286" w:rsidRPr="000D3286">
        <w:rPr>
          <w:rFonts w:ascii="Palatino Linotype" w:hAnsi="Palatino Linotype"/>
        </w:rPr>
        <w:t>Directora de la División de Ingeniería Industrial y de Sistemas</w:t>
      </w:r>
      <w:r w:rsidR="000D3286">
        <w:rPr>
          <w:rFonts w:ascii="Palatino Linotype" w:hAnsi="Palatino Linotype"/>
        </w:rPr>
        <w:t xml:space="preserve">; </w:t>
      </w:r>
      <w:r w:rsidR="000D3286" w:rsidRPr="000D3286">
        <w:rPr>
          <w:rFonts w:ascii="Palatino Linotype" w:hAnsi="Palatino Linotype"/>
        </w:rPr>
        <w:t>Jefa del Departamento de Información, Planeación, Programación y Evaluación</w:t>
      </w:r>
      <w:r w:rsidR="000D3286">
        <w:rPr>
          <w:rFonts w:ascii="Palatino Linotype" w:hAnsi="Palatino Linotype"/>
        </w:rPr>
        <w:t xml:space="preserve">; </w:t>
      </w:r>
      <w:r w:rsidR="000D3286" w:rsidRPr="000D3286">
        <w:rPr>
          <w:rFonts w:ascii="Palatino Linotype" w:hAnsi="Palatino Linotype"/>
        </w:rPr>
        <w:t>Director de la División de Ingeniería en Biotecnología y Licenciatura en Negocios Internacionales</w:t>
      </w:r>
      <w:r w:rsidR="000D3286">
        <w:rPr>
          <w:rFonts w:ascii="Palatino Linotype" w:hAnsi="Palatino Linotype"/>
        </w:rPr>
        <w:t xml:space="preserve">; </w:t>
      </w:r>
      <w:r w:rsidR="000D3286" w:rsidRPr="000D3286">
        <w:rPr>
          <w:rFonts w:ascii="Palatino Linotype" w:hAnsi="Palatino Linotype"/>
        </w:rPr>
        <w:t>Director de Administración y Finanzas</w:t>
      </w:r>
      <w:r w:rsidR="000D3286">
        <w:rPr>
          <w:rFonts w:ascii="Palatino Linotype" w:hAnsi="Palatino Linotype"/>
        </w:rPr>
        <w:t xml:space="preserve">; y </w:t>
      </w:r>
      <w:r w:rsidR="000D3286" w:rsidRPr="000D3286">
        <w:rPr>
          <w:rFonts w:ascii="Palatino Linotype" w:hAnsi="Palatino Linotype"/>
        </w:rPr>
        <w:t>Jefa del Departamento de Recursos Humanos y Materiales</w:t>
      </w:r>
      <w:r w:rsidR="000D3286">
        <w:rPr>
          <w:rFonts w:ascii="Palatino Linotype" w:hAnsi="Palatino Linotype"/>
        </w:rPr>
        <w:t xml:space="preserve">; quienes dieron respuesta señalando de forma objetiva que </w:t>
      </w:r>
      <w:r w:rsidR="000D3286">
        <w:rPr>
          <w:rFonts w:ascii="Palatino Linotype" w:hAnsi="Palatino Linotype"/>
          <w:i/>
        </w:rPr>
        <w:t xml:space="preserve">“no se posee documento donde conste reporte de </w:t>
      </w:r>
      <w:r w:rsidR="00CC72ED">
        <w:rPr>
          <w:rFonts w:ascii="Palatino Linotype" w:hAnsi="Palatino Linotype"/>
          <w:i/>
        </w:rPr>
        <w:t>auditorías</w:t>
      </w:r>
      <w:r w:rsidR="000D3286">
        <w:rPr>
          <w:rFonts w:ascii="Palatino Linotype" w:hAnsi="Palatino Linotype"/>
          <w:i/>
        </w:rPr>
        <w:t xml:space="preserve"> internas</w:t>
      </w:r>
      <w:r w:rsidR="00CC72ED">
        <w:rPr>
          <w:rFonts w:ascii="Palatino Linotype" w:hAnsi="Palatino Linotype"/>
          <w:i/>
        </w:rPr>
        <w:t xml:space="preserve"> y hallazgos aplicados por Órganos fiscalizadores, del periodo del cinco de octubre de dos mil diecisiete al cinco de octubre de dos mil dieciocho”</w:t>
      </w:r>
      <w:r w:rsidR="00C10B08">
        <w:rPr>
          <w:rFonts w:ascii="Palatino Linotype" w:hAnsi="Palatino Linotype"/>
        </w:rPr>
        <w:t>.</w:t>
      </w:r>
    </w:p>
    <w:p w:rsidR="00A36874" w:rsidRDefault="00A36874" w:rsidP="00453476">
      <w:pPr>
        <w:spacing w:line="360" w:lineRule="auto"/>
        <w:jc w:val="both"/>
        <w:rPr>
          <w:rFonts w:ascii="Palatino Linotype" w:hAnsi="Palatino Linotype"/>
        </w:rPr>
      </w:pPr>
    </w:p>
    <w:p w:rsidR="00D31F16" w:rsidRDefault="00D31F16" w:rsidP="00453476">
      <w:pPr>
        <w:spacing w:line="360" w:lineRule="auto"/>
        <w:jc w:val="both"/>
        <w:rPr>
          <w:rFonts w:ascii="Palatino Linotype" w:hAnsi="Palatino Linotype"/>
        </w:rPr>
      </w:pPr>
    </w:p>
    <w:p w:rsidR="00DF0079" w:rsidRDefault="00DF0079" w:rsidP="00453476">
      <w:pPr>
        <w:spacing w:line="360" w:lineRule="auto"/>
        <w:jc w:val="both"/>
        <w:rPr>
          <w:rFonts w:ascii="Palatino Linotype" w:hAnsi="Palatino Linotype"/>
        </w:rPr>
      </w:pPr>
      <w:r>
        <w:rPr>
          <w:rFonts w:ascii="Palatino Linotype" w:hAnsi="Palatino Linotype"/>
        </w:rPr>
        <w:lastRenderedPageBreak/>
        <w:t xml:space="preserve">Sin embargo, dicha información atendiendo a las funciones y atribuciones se encuentra en posesión del Órgano de Control Interno del </w:t>
      </w:r>
      <w:r>
        <w:rPr>
          <w:rFonts w:ascii="Palatino Linotype" w:hAnsi="Palatino Linotype"/>
          <w:b/>
        </w:rPr>
        <w:t xml:space="preserve">sujeto obligado, </w:t>
      </w:r>
      <w:r>
        <w:rPr>
          <w:rFonts w:ascii="Palatino Linotype" w:hAnsi="Palatino Linotype"/>
        </w:rPr>
        <w:t>el cual si bien forma parte de la estructura orgánica</w:t>
      </w:r>
      <w:r w:rsidR="0028718B">
        <w:rPr>
          <w:rFonts w:ascii="Palatino Linotype" w:hAnsi="Palatino Linotype"/>
        </w:rPr>
        <w:t xml:space="preserve"> y administrativa</w:t>
      </w:r>
      <w:r>
        <w:rPr>
          <w:rFonts w:ascii="Palatino Linotype" w:hAnsi="Palatino Linotype"/>
        </w:rPr>
        <w:t xml:space="preserve"> de éste</w:t>
      </w:r>
      <w:r w:rsidR="0028718B">
        <w:rPr>
          <w:rStyle w:val="Refdenotaalpie"/>
          <w:rFonts w:ascii="Palatino Linotype" w:hAnsi="Palatino Linotype"/>
        </w:rPr>
        <w:footnoteReference w:id="1"/>
      </w:r>
      <w:r>
        <w:rPr>
          <w:rFonts w:ascii="Palatino Linotype" w:hAnsi="Palatino Linotype"/>
        </w:rPr>
        <w:t xml:space="preserve">, funcional y jerárquicamente forma parte de la Secretaría de la Contraloría del Gobierno del Estado de México, de acuerdo </w:t>
      </w:r>
      <w:r w:rsidRPr="00DF0079">
        <w:rPr>
          <w:rFonts w:ascii="Palatino Linotype" w:hAnsi="Palatino Linotype"/>
        </w:rPr>
        <w:t>al artículo 2 fracción X y 35 del Reglamento Interior de dicha Secretaría publicado en el Diario Oficial Gaceta de Gobierno el 22 de noviembre de 2018</w:t>
      </w:r>
      <w:r>
        <w:rPr>
          <w:rFonts w:ascii="Palatino Linotype" w:hAnsi="Palatino Linotype"/>
        </w:rPr>
        <w:t>, como a continuación se aprecia:</w:t>
      </w:r>
    </w:p>
    <w:p w:rsidR="00DF0079" w:rsidRDefault="00DF0079" w:rsidP="00453476">
      <w:pPr>
        <w:spacing w:line="360" w:lineRule="auto"/>
        <w:jc w:val="both"/>
        <w:rPr>
          <w:rFonts w:ascii="Palatino Linotype" w:hAnsi="Palatino Linotype"/>
        </w:rPr>
      </w:pPr>
    </w:p>
    <w:p w:rsidR="00F7635E" w:rsidRDefault="00DF0079" w:rsidP="00F7635E">
      <w:pPr>
        <w:ind w:left="567" w:right="616"/>
        <w:jc w:val="both"/>
        <w:rPr>
          <w:rFonts w:ascii="Palatino Linotype" w:hAnsi="Palatino Linotype"/>
          <w:i/>
          <w:sz w:val="22"/>
        </w:rPr>
      </w:pPr>
      <w:r>
        <w:rPr>
          <w:rFonts w:ascii="Palatino Linotype" w:hAnsi="Palatino Linotype"/>
          <w:i/>
          <w:sz w:val="22"/>
        </w:rPr>
        <w:t>“</w:t>
      </w:r>
      <w:r w:rsidR="00F7635E" w:rsidRPr="00F7635E">
        <w:rPr>
          <w:rFonts w:ascii="Palatino Linotype" w:hAnsi="Palatino Linotype"/>
          <w:b/>
          <w:i/>
          <w:sz w:val="22"/>
        </w:rPr>
        <w:t>Artículo 2.</w:t>
      </w:r>
      <w:r w:rsidR="00F7635E" w:rsidRPr="00F7635E">
        <w:rPr>
          <w:rFonts w:ascii="Palatino Linotype" w:hAnsi="Palatino Linotype"/>
          <w:i/>
          <w:sz w:val="22"/>
        </w:rPr>
        <w:t xml:space="preserve"> Para los efectos de este Reglamento, además de las definiciones establecidas en la</w:t>
      </w:r>
      <w:r w:rsidR="00F7635E">
        <w:rPr>
          <w:rFonts w:ascii="Palatino Linotype" w:hAnsi="Palatino Linotype"/>
          <w:i/>
          <w:sz w:val="22"/>
        </w:rPr>
        <w:t xml:space="preserve"> </w:t>
      </w:r>
      <w:r w:rsidR="00F7635E" w:rsidRPr="00F7635E">
        <w:rPr>
          <w:rFonts w:ascii="Palatino Linotype" w:hAnsi="Palatino Linotype"/>
          <w:i/>
          <w:sz w:val="22"/>
        </w:rPr>
        <w:t>Ley de Responsabilidades Administrativas del Estado de México y Municipios y en la Ley del</w:t>
      </w:r>
      <w:r w:rsidR="00F7635E">
        <w:rPr>
          <w:rFonts w:ascii="Palatino Linotype" w:hAnsi="Palatino Linotype"/>
          <w:i/>
          <w:sz w:val="22"/>
        </w:rPr>
        <w:t xml:space="preserve"> </w:t>
      </w:r>
      <w:r w:rsidR="00F7635E" w:rsidRPr="00F7635E">
        <w:rPr>
          <w:rFonts w:ascii="Palatino Linotype" w:hAnsi="Palatino Linotype"/>
          <w:i/>
          <w:sz w:val="22"/>
        </w:rPr>
        <w:t>Sistema Anticorrupción del Estado de México y Municipios, se entiende por:</w:t>
      </w:r>
    </w:p>
    <w:p w:rsidR="00F7635E" w:rsidRDefault="00F7635E" w:rsidP="00F7635E">
      <w:pPr>
        <w:ind w:left="567" w:right="616"/>
        <w:jc w:val="both"/>
        <w:rPr>
          <w:rFonts w:ascii="Palatino Linotype" w:hAnsi="Palatino Linotype"/>
          <w:i/>
          <w:sz w:val="22"/>
        </w:rPr>
      </w:pPr>
      <w:r>
        <w:rPr>
          <w:rFonts w:ascii="Palatino Linotype" w:hAnsi="Palatino Linotype"/>
          <w:i/>
          <w:sz w:val="22"/>
        </w:rPr>
        <w:t>(…)</w:t>
      </w:r>
    </w:p>
    <w:p w:rsidR="00F7635E" w:rsidRPr="00F7635E" w:rsidRDefault="00F7635E" w:rsidP="00F7635E">
      <w:pPr>
        <w:ind w:left="567" w:right="616"/>
        <w:jc w:val="both"/>
        <w:rPr>
          <w:rFonts w:ascii="Palatino Linotype" w:hAnsi="Palatino Linotype"/>
          <w:b/>
          <w:i/>
          <w:sz w:val="22"/>
        </w:rPr>
      </w:pPr>
      <w:r w:rsidRPr="00F7635E">
        <w:rPr>
          <w:rFonts w:ascii="Palatino Linotype" w:hAnsi="Palatino Linotype"/>
          <w:b/>
          <w:i/>
          <w:sz w:val="22"/>
        </w:rPr>
        <w:t>X. Órganos internos de control:</w:t>
      </w:r>
      <w:r w:rsidRPr="00F7635E">
        <w:rPr>
          <w:rFonts w:ascii="Palatino Linotype" w:hAnsi="Palatino Linotype"/>
          <w:i/>
          <w:sz w:val="22"/>
        </w:rPr>
        <w:t xml:space="preserve"> A las unidades administrativas en las dependencias y organismos auxiliares, encargadas de promover, evaluar y fortalecer el buen funcionamiento del control interno, competentes para aplicar las leyes en materia de responsabilidades de los servidores públicos, y que dependen jerárquica y funcionalmente de la Secretaría de la Contraloría;</w:t>
      </w:r>
    </w:p>
    <w:p w:rsidR="00F7635E" w:rsidRDefault="00F7635E" w:rsidP="00DF0079">
      <w:pPr>
        <w:ind w:left="567" w:right="616"/>
        <w:jc w:val="both"/>
        <w:rPr>
          <w:rFonts w:ascii="Palatino Linotype" w:hAnsi="Palatino Linotype"/>
          <w:i/>
          <w:sz w:val="22"/>
        </w:rPr>
      </w:pPr>
    </w:p>
    <w:p w:rsidR="00DF0079" w:rsidRDefault="00DF0079" w:rsidP="00DF0079">
      <w:pPr>
        <w:ind w:left="567" w:right="616"/>
        <w:jc w:val="both"/>
        <w:rPr>
          <w:rFonts w:ascii="Palatino Linotype" w:hAnsi="Palatino Linotype"/>
          <w:i/>
          <w:sz w:val="22"/>
        </w:rPr>
      </w:pPr>
      <w:r w:rsidRPr="00DF0079">
        <w:rPr>
          <w:rFonts w:ascii="Palatino Linotype" w:hAnsi="Palatino Linotype"/>
          <w:b/>
          <w:i/>
          <w:sz w:val="22"/>
        </w:rPr>
        <w:t>Artículo 35</w:t>
      </w:r>
      <w:r w:rsidRPr="00DF0079">
        <w:rPr>
          <w:rFonts w:ascii="Palatino Linotype" w:hAnsi="Palatino Linotype"/>
          <w:i/>
          <w:sz w:val="22"/>
        </w:rPr>
        <w:t xml:space="preserve">. </w:t>
      </w:r>
      <w:r w:rsidRPr="00DF0079">
        <w:rPr>
          <w:rFonts w:ascii="Palatino Linotype" w:hAnsi="Palatino Linotype"/>
          <w:b/>
          <w:i/>
          <w:sz w:val="22"/>
          <w:u w:val="single"/>
        </w:rPr>
        <w:t>Los Órganos Internos de Control</w:t>
      </w:r>
      <w:r w:rsidRPr="00DF0079">
        <w:rPr>
          <w:rFonts w:ascii="Palatino Linotype" w:hAnsi="Palatino Linotype"/>
          <w:i/>
          <w:sz w:val="22"/>
        </w:rPr>
        <w:t xml:space="preserve">, así como las Áreas de Auditoría, de Quejas y de Responsabilidades, o en su caso los servidores públicos que realicen las funciones que correspondan a dichas áreas, de las dependencias y organismos auxiliares, </w:t>
      </w:r>
      <w:r w:rsidRPr="00DF0079">
        <w:rPr>
          <w:rFonts w:ascii="Palatino Linotype" w:hAnsi="Palatino Linotype"/>
          <w:b/>
          <w:i/>
          <w:sz w:val="22"/>
          <w:u w:val="single"/>
        </w:rPr>
        <w:t>serán coordinados y dependerán jerárquica y funcionalmente de la Secretaría</w:t>
      </w:r>
      <w:r w:rsidRPr="00DF0079">
        <w:rPr>
          <w:rFonts w:ascii="Palatino Linotype" w:hAnsi="Palatino Linotype"/>
          <w:i/>
          <w:sz w:val="22"/>
        </w:rPr>
        <w:t xml:space="preserve">, quienes observarán las políticas, normas, lineamientos, procedimientos y demás disposiciones aplicables, </w:t>
      </w:r>
      <w:r w:rsidRPr="00DF0079">
        <w:rPr>
          <w:rFonts w:ascii="Palatino Linotype" w:hAnsi="Palatino Linotype"/>
          <w:b/>
          <w:i/>
          <w:sz w:val="22"/>
          <w:u w:val="single"/>
        </w:rPr>
        <w:t>así como los programas de trabajo de la Secretaría.</w:t>
      </w:r>
      <w:r w:rsidRPr="00DF0079">
        <w:rPr>
          <w:rFonts w:ascii="Palatino Linotype" w:hAnsi="Palatino Linotype"/>
          <w:i/>
          <w:sz w:val="22"/>
        </w:rPr>
        <w:t>”</w:t>
      </w:r>
    </w:p>
    <w:p w:rsidR="00DF0079" w:rsidRDefault="00DF0079" w:rsidP="00DF0079">
      <w:pPr>
        <w:ind w:left="567" w:right="616"/>
        <w:jc w:val="both"/>
        <w:rPr>
          <w:rFonts w:ascii="Palatino Linotype" w:hAnsi="Palatino Linotype"/>
          <w:i/>
          <w:sz w:val="22"/>
        </w:rPr>
      </w:pPr>
    </w:p>
    <w:p w:rsidR="00DF0079" w:rsidRPr="00DF0079" w:rsidRDefault="00DF0079" w:rsidP="00DF0079">
      <w:pPr>
        <w:ind w:left="567" w:right="616"/>
        <w:jc w:val="right"/>
        <w:rPr>
          <w:rFonts w:ascii="Palatino Linotype" w:hAnsi="Palatino Linotype"/>
          <w:sz w:val="22"/>
        </w:rPr>
      </w:pPr>
      <w:r>
        <w:rPr>
          <w:rFonts w:ascii="Palatino Linotype" w:hAnsi="Palatino Linotype"/>
          <w:sz w:val="22"/>
        </w:rPr>
        <w:t>(Énfasis añadido)</w:t>
      </w:r>
    </w:p>
    <w:p w:rsidR="00DF0079" w:rsidRDefault="00DF0079" w:rsidP="00453476">
      <w:pPr>
        <w:spacing w:line="360" w:lineRule="auto"/>
        <w:jc w:val="both"/>
        <w:rPr>
          <w:rFonts w:ascii="Palatino Linotype" w:hAnsi="Palatino Linotype"/>
        </w:rPr>
      </w:pPr>
    </w:p>
    <w:p w:rsidR="00601667" w:rsidRDefault="00601667" w:rsidP="00453476">
      <w:pPr>
        <w:spacing w:line="360" w:lineRule="auto"/>
        <w:jc w:val="both"/>
        <w:rPr>
          <w:rFonts w:ascii="Palatino Linotype" w:hAnsi="Palatino Linotype"/>
        </w:rPr>
      </w:pPr>
      <w:r>
        <w:rPr>
          <w:rFonts w:ascii="Palatino Linotype" w:hAnsi="Palatino Linotype"/>
        </w:rPr>
        <w:t xml:space="preserve">Como quedó precisado el área que tiene en sus archivos la información peticionada, forma parte de un </w:t>
      </w:r>
      <w:r w:rsidR="004275F4">
        <w:rPr>
          <w:rFonts w:ascii="Palatino Linotype" w:hAnsi="Palatino Linotype"/>
          <w:b/>
        </w:rPr>
        <w:t xml:space="preserve">Sujeto Obligado </w:t>
      </w:r>
      <w:r>
        <w:rPr>
          <w:rFonts w:ascii="Palatino Linotype" w:hAnsi="Palatino Linotype"/>
        </w:rPr>
        <w:t xml:space="preserve">diverso, por lo que resultaba dable dejar a salvo los derechos del </w:t>
      </w:r>
      <w:r w:rsidR="004275F4">
        <w:rPr>
          <w:rFonts w:ascii="Palatino Linotype" w:hAnsi="Palatino Linotype"/>
          <w:b/>
        </w:rPr>
        <w:t>Recurrente</w:t>
      </w:r>
      <w:r w:rsidR="004275F4">
        <w:rPr>
          <w:rFonts w:ascii="Palatino Linotype" w:hAnsi="Palatino Linotype"/>
        </w:rPr>
        <w:t xml:space="preserve"> </w:t>
      </w:r>
      <w:r>
        <w:rPr>
          <w:rFonts w:ascii="Palatino Linotype" w:hAnsi="Palatino Linotype"/>
        </w:rPr>
        <w:t>a efecto de que peticionará a la Secretaría de la Contraloría del Gobierno del Estado México, los reportes de auditorías internas.</w:t>
      </w:r>
    </w:p>
    <w:p w:rsidR="00601667" w:rsidRDefault="00601667" w:rsidP="00453476">
      <w:pPr>
        <w:spacing w:line="360" w:lineRule="auto"/>
        <w:jc w:val="both"/>
        <w:rPr>
          <w:rFonts w:ascii="Palatino Linotype" w:hAnsi="Palatino Linotype"/>
        </w:rPr>
      </w:pPr>
    </w:p>
    <w:p w:rsidR="00601667" w:rsidRDefault="000D5785" w:rsidP="00453476">
      <w:pPr>
        <w:spacing w:line="360" w:lineRule="auto"/>
        <w:jc w:val="both"/>
        <w:rPr>
          <w:rFonts w:ascii="Palatino Linotype" w:hAnsi="Palatino Linotype"/>
        </w:rPr>
      </w:pPr>
      <w:r>
        <w:rPr>
          <w:rFonts w:ascii="Palatino Linotype" w:hAnsi="Palatino Linotype"/>
        </w:rPr>
        <w:t xml:space="preserve">Es por lo anterior, que al tenerse por acreditado que la información no la tiene el </w:t>
      </w:r>
      <w:r>
        <w:rPr>
          <w:rFonts w:ascii="Palatino Linotype" w:hAnsi="Palatino Linotype"/>
          <w:b/>
        </w:rPr>
        <w:t xml:space="preserve">Sujeto Obligado, </w:t>
      </w:r>
      <w:r>
        <w:rPr>
          <w:rFonts w:ascii="Palatino Linotype" w:hAnsi="Palatino Linotype"/>
        </w:rPr>
        <w:t>al no generarla, poseerla o administrarla</w:t>
      </w:r>
      <w:r w:rsidR="00D31F16">
        <w:rPr>
          <w:rStyle w:val="Refdenotaalpie"/>
          <w:rFonts w:ascii="Palatino Linotype" w:hAnsi="Palatino Linotype"/>
        </w:rPr>
        <w:footnoteReference w:id="2"/>
      </w:r>
      <w:r>
        <w:rPr>
          <w:rFonts w:ascii="Palatino Linotype" w:hAnsi="Palatino Linotype"/>
        </w:rPr>
        <w:t>, lo procedente era sobreseer el recurso de revisión, en términos de la fracción V del artículo 192 de la Ley en cita, que señala lo siguiente:</w:t>
      </w:r>
    </w:p>
    <w:p w:rsidR="006A4CD5" w:rsidRDefault="006A4CD5" w:rsidP="00453476">
      <w:pPr>
        <w:spacing w:line="360" w:lineRule="auto"/>
        <w:jc w:val="both"/>
        <w:rPr>
          <w:rFonts w:ascii="Palatino Linotype" w:hAnsi="Palatino Linotype"/>
        </w:rPr>
      </w:pPr>
    </w:p>
    <w:p w:rsidR="000D5785" w:rsidRDefault="000D5785" w:rsidP="000D5785">
      <w:pPr>
        <w:ind w:left="567" w:right="616"/>
        <w:jc w:val="both"/>
        <w:rPr>
          <w:rFonts w:ascii="Palatino Linotype" w:hAnsi="Palatino Linotype"/>
          <w:i/>
          <w:sz w:val="22"/>
        </w:rPr>
      </w:pPr>
      <w:r>
        <w:rPr>
          <w:rFonts w:ascii="Palatino Linotype" w:hAnsi="Palatino Linotype"/>
          <w:i/>
          <w:sz w:val="22"/>
        </w:rPr>
        <w:t>“</w:t>
      </w:r>
      <w:r w:rsidRPr="000D5785">
        <w:rPr>
          <w:rFonts w:ascii="Palatino Linotype" w:hAnsi="Palatino Linotype"/>
          <w:b/>
          <w:i/>
          <w:sz w:val="22"/>
        </w:rPr>
        <w:t>Artículo 192.</w:t>
      </w:r>
      <w:r w:rsidRPr="000D5785">
        <w:rPr>
          <w:rFonts w:ascii="Palatino Linotype" w:hAnsi="Palatino Linotype"/>
          <w:i/>
          <w:sz w:val="22"/>
        </w:rPr>
        <w:t xml:space="preserve"> El recurso será sobreseído, en todo o en parte, cuando una vez admitido, se actualicen</w:t>
      </w:r>
      <w:r>
        <w:rPr>
          <w:rFonts w:ascii="Palatino Linotype" w:hAnsi="Palatino Linotype"/>
          <w:i/>
          <w:sz w:val="22"/>
        </w:rPr>
        <w:t xml:space="preserve"> </w:t>
      </w:r>
      <w:r w:rsidRPr="000D5785">
        <w:rPr>
          <w:rFonts w:ascii="Palatino Linotype" w:hAnsi="Palatino Linotype"/>
          <w:i/>
          <w:sz w:val="22"/>
        </w:rPr>
        <w:t>algu</w:t>
      </w:r>
      <w:r>
        <w:rPr>
          <w:rFonts w:ascii="Palatino Linotype" w:hAnsi="Palatino Linotype"/>
          <w:i/>
          <w:sz w:val="22"/>
        </w:rPr>
        <w:t>no de los siguientes supuestos:</w:t>
      </w:r>
    </w:p>
    <w:p w:rsidR="000D5785" w:rsidRDefault="000D5785" w:rsidP="000D5785">
      <w:pPr>
        <w:ind w:left="567" w:right="616"/>
        <w:jc w:val="both"/>
        <w:rPr>
          <w:rFonts w:ascii="Palatino Linotype" w:hAnsi="Palatino Linotype"/>
          <w:i/>
          <w:sz w:val="22"/>
        </w:rPr>
      </w:pPr>
      <w:r>
        <w:rPr>
          <w:rFonts w:ascii="Palatino Linotype" w:hAnsi="Palatino Linotype"/>
          <w:i/>
          <w:sz w:val="22"/>
        </w:rPr>
        <w:t>(…)</w:t>
      </w:r>
    </w:p>
    <w:p w:rsidR="000D5785" w:rsidRPr="000D5785" w:rsidRDefault="000D5785" w:rsidP="000D5785">
      <w:pPr>
        <w:ind w:left="567" w:right="616"/>
        <w:jc w:val="both"/>
        <w:rPr>
          <w:rFonts w:ascii="Palatino Linotype" w:hAnsi="Palatino Linotype"/>
          <w:i/>
          <w:sz w:val="22"/>
        </w:rPr>
      </w:pPr>
      <w:r w:rsidRPr="000D5785">
        <w:rPr>
          <w:rFonts w:ascii="Palatino Linotype" w:hAnsi="Palatino Linotype"/>
          <w:b/>
          <w:i/>
          <w:sz w:val="22"/>
        </w:rPr>
        <w:t>V.</w:t>
      </w:r>
      <w:r w:rsidRPr="000D5785">
        <w:rPr>
          <w:rFonts w:ascii="Palatino Linotype" w:hAnsi="Palatino Linotype"/>
          <w:i/>
          <w:sz w:val="22"/>
        </w:rPr>
        <w:t xml:space="preserve"> Cuando por cualquier motivo quede sin materia el recurso.</w:t>
      </w:r>
    </w:p>
    <w:p w:rsidR="00601667" w:rsidRDefault="00601667" w:rsidP="00453476">
      <w:pPr>
        <w:spacing w:line="360" w:lineRule="auto"/>
        <w:jc w:val="both"/>
        <w:rPr>
          <w:rFonts w:ascii="Palatino Linotype" w:hAnsi="Palatino Linotype"/>
        </w:rPr>
      </w:pPr>
    </w:p>
    <w:p w:rsidR="00453476" w:rsidRPr="00AF5029" w:rsidRDefault="000D5785" w:rsidP="00453476">
      <w:pPr>
        <w:spacing w:line="360" w:lineRule="auto"/>
        <w:jc w:val="both"/>
        <w:rPr>
          <w:rFonts w:ascii="Palatino Linotype" w:hAnsi="Palatino Linotype"/>
        </w:rPr>
      </w:pPr>
      <w:r>
        <w:rPr>
          <w:rFonts w:ascii="Palatino Linotype" w:hAnsi="Palatino Linotype"/>
        </w:rPr>
        <w:t>Hipótesis que encuadra en el caso concreto, al tenerse por demostrado que la información se encuentra en posesión de la Secretaría de la Contraloría del Gobierno del Estado de México, por lo que consecuentemente se queda sin materia el recurso en cuestión, por los argumentos precisados anteriormente.</w:t>
      </w:r>
    </w:p>
    <w:p w:rsidR="00453476" w:rsidRDefault="00453476" w:rsidP="00453476">
      <w:pPr>
        <w:spacing w:line="360" w:lineRule="auto"/>
        <w:rPr>
          <w:rFonts w:ascii="Palatino Linotype" w:hAnsi="Palatino Linotype"/>
          <w:b/>
        </w:rPr>
      </w:pPr>
    </w:p>
    <w:p w:rsidR="000D5785" w:rsidRDefault="000D5785" w:rsidP="00453476">
      <w:pPr>
        <w:spacing w:line="360" w:lineRule="auto"/>
        <w:rPr>
          <w:rFonts w:ascii="Palatino Linotype" w:hAnsi="Palatino Linotype"/>
          <w:b/>
        </w:rPr>
      </w:pPr>
    </w:p>
    <w:p w:rsidR="00D31F16" w:rsidRDefault="00D31F16" w:rsidP="00453476">
      <w:pPr>
        <w:spacing w:line="360" w:lineRule="auto"/>
        <w:rPr>
          <w:rFonts w:ascii="Palatino Linotype" w:hAnsi="Palatino Linotype"/>
          <w:b/>
        </w:rPr>
      </w:pPr>
    </w:p>
    <w:p w:rsidR="000D5785" w:rsidRDefault="000D5785" w:rsidP="00453476">
      <w:pPr>
        <w:spacing w:line="360" w:lineRule="auto"/>
        <w:rPr>
          <w:rFonts w:ascii="Palatino Linotype" w:hAnsi="Palatino Linotype"/>
          <w:b/>
        </w:rPr>
      </w:pPr>
    </w:p>
    <w:tbl>
      <w:tblPr>
        <w:tblStyle w:val="Tablaconcuadrcula"/>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68"/>
        <w:gridCol w:w="4478"/>
      </w:tblGrid>
      <w:tr w:rsidR="00453476" w:rsidTr="00855916">
        <w:trPr>
          <w:trHeight w:val="515"/>
          <w:jc w:val="center"/>
        </w:trPr>
        <w:tc>
          <w:tcPr>
            <w:tcW w:w="4783" w:type="dxa"/>
          </w:tcPr>
          <w:p w:rsidR="00453476" w:rsidRDefault="006A4CD5" w:rsidP="00D31F16">
            <w:pPr>
              <w:spacing w:line="360" w:lineRule="auto"/>
              <w:jc w:val="center"/>
              <w:rPr>
                <w:rFonts w:ascii="Palatino Linotype" w:hAnsi="Palatino Linotype"/>
                <w:b/>
              </w:rPr>
            </w:pPr>
            <w:r>
              <w:rPr>
                <w:rFonts w:ascii="Palatino Linotype" w:hAnsi="Palatino Linotype"/>
                <w:b/>
              </w:rPr>
              <w:t xml:space="preserve">Zulema Martínez Sánchez </w:t>
            </w:r>
          </w:p>
        </w:tc>
        <w:tc>
          <w:tcPr>
            <w:tcW w:w="468" w:type="dxa"/>
          </w:tcPr>
          <w:p w:rsidR="00453476" w:rsidRDefault="00453476" w:rsidP="00D31F16">
            <w:pPr>
              <w:spacing w:line="360" w:lineRule="auto"/>
              <w:jc w:val="center"/>
              <w:rPr>
                <w:rFonts w:ascii="Palatino Linotype" w:hAnsi="Palatino Linotype"/>
                <w:b/>
              </w:rPr>
            </w:pPr>
          </w:p>
        </w:tc>
        <w:tc>
          <w:tcPr>
            <w:tcW w:w="4478" w:type="dxa"/>
          </w:tcPr>
          <w:p w:rsidR="00453476" w:rsidRDefault="006A4CD5" w:rsidP="00D31F16">
            <w:pPr>
              <w:spacing w:line="360" w:lineRule="auto"/>
              <w:jc w:val="center"/>
              <w:rPr>
                <w:rFonts w:ascii="Palatino Linotype" w:hAnsi="Palatino Linotype"/>
                <w:b/>
              </w:rPr>
            </w:pPr>
            <w:r>
              <w:rPr>
                <w:rFonts w:ascii="Palatino Linotype" w:hAnsi="Palatino Linotype"/>
                <w:b/>
              </w:rPr>
              <w:t xml:space="preserve">Eva Abaid Yapur </w:t>
            </w:r>
          </w:p>
        </w:tc>
      </w:tr>
      <w:tr w:rsidR="00453476" w:rsidTr="00855916">
        <w:trPr>
          <w:trHeight w:val="504"/>
          <w:jc w:val="center"/>
        </w:trPr>
        <w:tc>
          <w:tcPr>
            <w:tcW w:w="4783" w:type="dxa"/>
          </w:tcPr>
          <w:p w:rsidR="00453476" w:rsidRDefault="00453476" w:rsidP="00D31F16">
            <w:pPr>
              <w:spacing w:line="360" w:lineRule="auto"/>
              <w:jc w:val="center"/>
              <w:rPr>
                <w:rFonts w:ascii="Palatino Linotype" w:hAnsi="Palatino Linotype"/>
                <w:b/>
              </w:rPr>
            </w:pPr>
            <w:r>
              <w:rPr>
                <w:rFonts w:ascii="Palatino Linotype" w:hAnsi="Palatino Linotype"/>
                <w:b/>
              </w:rPr>
              <w:t>Comisionada</w:t>
            </w:r>
          </w:p>
          <w:p w:rsidR="004275F4" w:rsidRDefault="004275F4" w:rsidP="00D31F16">
            <w:pPr>
              <w:spacing w:line="360" w:lineRule="auto"/>
              <w:jc w:val="center"/>
              <w:rPr>
                <w:rFonts w:ascii="Palatino Linotype" w:hAnsi="Palatino Linotype"/>
                <w:b/>
              </w:rPr>
            </w:pPr>
          </w:p>
        </w:tc>
        <w:tc>
          <w:tcPr>
            <w:tcW w:w="468" w:type="dxa"/>
          </w:tcPr>
          <w:p w:rsidR="00453476" w:rsidRDefault="00453476" w:rsidP="00D31F16">
            <w:pPr>
              <w:spacing w:line="360" w:lineRule="auto"/>
              <w:jc w:val="center"/>
              <w:rPr>
                <w:rFonts w:ascii="Palatino Linotype" w:hAnsi="Palatino Linotype"/>
                <w:b/>
              </w:rPr>
            </w:pPr>
          </w:p>
        </w:tc>
        <w:tc>
          <w:tcPr>
            <w:tcW w:w="4478" w:type="dxa"/>
          </w:tcPr>
          <w:p w:rsidR="00453476" w:rsidRDefault="00453476" w:rsidP="00D31F16">
            <w:pPr>
              <w:spacing w:line="360" w:lineRule="auto"/>
              <w:jc w:val="center"/>
              <w:rPr>
                <w:rFonts w:ascii="Palatino Linotype" w:hAnsi="Palatino Linotype"/>
                <w:b/>
              </w:rPr>
            </w:pPr>
            <w:r>
              <w:rPr>
                <w:rFonts w:ascii="Palatino Linotype" w:hAnsi="Palatino Linotype"/>
                <w:b/>
              </w:rPr>
              <w:t>Comisionada</w:t>
            </w:r>
          </w:p>
          <w:p w:rsidR="004275F4" w:rsidRDefault="004275F4" w:rsidP="00D31F16">
            <w:pPr>
              <w:spacing w:line="360" w:lineRule="auto"/>
              <w:jc w:val="center"/>
              <w:rPr>
                <w:rFonts w:ascii="Palatino Linotype" w:hAnsi="Palatino Linotype"/>
                <w:b/>
              </w:rPr>
            </w:pPr>
          </w:p>
        </w:tc>
      </w:tr>
    </w:tbl>
    <w:p w:rsidR="00453476" w:rsidRDefault="00453476" w:rsidP="00D31F16">
      <w:pPr>
        <w:spacing w:line="360" w:lineRule="auto"/>
      </w:pPr>
    </w:p>
    <w:p w:rsidR="00480D37" w:rsidRDefault="00480D37"/>
    <w:p w:rsidR="004275F4" w:rsidRPr="00D31F16" w:rsidRDefault="004275F4" w:rsidP="00D31F16">
      <w:pPr>
        <w:jc w:val="both"/>
        <w:rPr>
          <w:rFonts w:ascii="Palatino Linotype" w:hAnsi="Palatino Linotype"/>
          <w:sz w:val="16"/>
        </w:rPr>
      </w:pPr>
      <w:r w:rsidRPr="00D31F16">
        <w:rPr>
          <w:rFonts w:ascii="Palatino Linotype" w:hAnsi="Palatino Linotype"/>
          <w:sz w:val="16"/>
        </w:rPr>
        <w:t>Esta hoja pertenece al voto particular concurrente emitido en el recurso de revisión 04231/INFOEMN/IP/RR/2018, de fecha veintitrés de enero de dos mil diecinueve</w:t>
      </w:r>
    </w:p>
    <w:p w:rsidR="004275F4" w:rsidRPr="00D31F16" w:rsidRDefault="004275F4" w:rsidP="00D31F16">
      <w:pPr>
        <w:jc w:val="both"/>
        <w:rPr>
          <w:rFonts w:ascii="Palatino Linotype" w:hAnsi="Palatino Linotype"/>
          <w:sz w:val="16"/>
        </w:rPr>
      </w:pPr>
      <w:r w:rsidRPr="00D31F16">
        <w:rPr>
          <w:rFonts w:ascii="Palatino Linotype" w:hAnsi="Palatino Linotype"/>
          <w:sz w:val="16"/>
        </w:rPr>
        <w:t>OSAM/HAP</w:t>
      </w:r>
    </w:p>
    <w:sectPr w:rsidR="004275F4" w:rsidRPr="00D31F16" w:rsidSect="006819C6">
      <w:headerReference w:type="default" r:id="rId6"/>
      <w:footerReference w:type="default" r:id="rId7"/>
      <w:pgSz w:w="12240" w:h="15840"/>
      <w:pgMar w:top="1135" w:right="1701" w:bottom="1417" w:left="1701" w:header="708" w:footer="9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C85" w:rsidRDefault="007A2C85" w:rsidP="00453476">
      <w:r>
        <w:separator/>
      </w:r>
    </w:p>
  </w:endnote>
  <w:endnote w:type="continuationSeparator" w:id="0">
    <w:p w:rsidR="007A2C85" w:rsidRDefault="007A2C85" w:rsidP="0045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59B" w:rsidRDefault="00B80F3D">
    <w:pPr>
      <w:pStyle w:val="Piedepgina"/>
    </w:pPr>
  </w:p>
  <w:p w:rsidR="0014359B" w:rsidRDefault="00B80F3D">
    <w:pPr>
      <w:pStyle w:val="Piedepgina"/>
    </w:pPr>
  </w:p>
  <w:p w:rsidR="0014359B" w:rsidRDefault="00B80F3D">
    <w:pPr>
      <w:pStyle w:val="Piedepgina"/>
    </w:pPr>
  </w:p>
  <w:p w:rsidR="0014359B" w:rsidRDefault="00B80F3D">
    <w:pPr>
      <w:pStyle w:val="Piedepgina"/>
    </w:pPr>
  </w:p>
  <w:p w:rsidR="0014359B" w:rsidRPr="00757B5E" w:rsidRDefault="0060612E" w:rsidP="00757B5E">
    <w:pPr>
      <w:pStyle w:val="Piedepgina"/>
      <w:jc w:val="right"/>
      <w:rPr>
        <w:rFonts w:ascii="Palatino Linotype" w:hAnsi="Palatino Linotype"/>
        <w:sz w:val="20"/>
      </w:rPr>
    </w:pPr>
    <w:r w:rsidRPr="00757B5E">
      <w:rPr>
        <w:rFonts w:ascii="Palatino Linotype" w:hAnsi="Palatino Linotype"/>
        <w:sz w:val="20"/>
        <w:lang w:val="es-ES"/>
      </w:rPr>
      <w:t xml:space="preserve">Página </w:t>
    </w:r>
    <w:r w:rsidRPr="00757B5E">
      <w:rPr>
        <w:rFonts w:ascii="Palatino Linotype" w:hAnsi="Palatino Linotype"/>
        <w:b/>
        <w:bCs/>
        <w:sz w:val="20"/>
      </w:rPr>
      <w:fldChar w:fldCharType="begin"/>
    </w:r>
    <w:r w:rsidRPr="00757B5E">
      <w:rPr>
        <w:rFonts w:ascii="Palatino Linotype" w:hAnsi="Palatino Linotype"/>
        <w:b/>
        <w:bCs/>
        <w:sz w:val="20"/>
      </w:rPr>
      <w:instrText>PAGE  \* Arabic  \* MERGEFORMAT</w:instrText>
    </w:r>
    <w:r w:rsidRPr="00757B5E">
      <w:rPr>
        <w:rFonts w:ascii="Palatino Linotype" w:hAnsi="Palatino Linotype"/>
        <w:b/>
        <w:bCs/>
        <w:sz w:val="20"/>
      </w:rPr>
      <w:fldChar w:fldCharType="separate"/>
    </w:r>
    <w:r w:rsidR="00B80F3D" w:rsidRPr="00B80F3D">
      <w:rPr>
        <w:rFonts w:ascii="Palatino Linotype" w:hAnsi="Palatino Linotype"/>
        <w:b/>
        <w:bCs/>
        <w:noProof/>
        <w:sz w:val="20"/>
        <w:lang w:val="es-ES"/>
      </w:rPr>
      <w:t>1</w:t>
    </w:r>
    <w:r w:rsidRPr="00757B5E">
      <w:rPr>
        <w:rFonts w:ascii="Palatino Linotype" w:hAnsi="Palatino Linotype"/>
        <w:b/>
        <w:bCs/>
        <w:sz w:val="20"/>
      </w:rPr>
      <w:fldChar w:fldCharType="end"/>
    </w:r>
    <w:r w:rsidRPr="00757B5E">
      <w:rPr>
        <w:rFonts w:ascii="Palatino Linotype" w:hAnsi="Palatino Linotype"/>
        <w:sz w:val="20"/>
        <w:lang w:val="es-ES"/>
      </w:rPr>
      <w:t xml:space="preserve"> de </w:t>
    </w:r>
    <w:r w:rsidRPr="00757B5E">
      <w:rPr>
        <w:rFonts w:ascii="Palatino Linotype" w:hAnsi="Palatino Linotype"/>
        <w:b/>
        <w:bCs/>
        <w:sz w:val="20"/>
      </w:rPr>
      <w:fldChar w:fldCharType="begin"/>
    </w:r>
    <w:r w:rsidRPr="00757B5E">
      <w:rPr>
        <w:rFonts w:ascii="Palatino Linotype" w:hAnsi="Palatino Linotype"/>
        <w:b/>
        <w:bCs/>
        <w:sz w:val="20"/>
      </w:rPr>
      <w:instrText>NUMPAGES  \* Arabic  \* MERGEFORMAT</w:instrText>
    </w:r>
    <w:r w:rsidRPr="00757B5E">
      <w:rPr>
        <w:rFonts w:ascii="Palatino Linotype" w:hAnsi="Palatino Linotype"/>
        <w:b/>
        <w:bCs/>
        <w:sz w:val="20"/>
      </w:rPr>
      <w:fldChar w:fldCharType="separate"/>
    </w:r>
    <w:r w:rsidR="00B80F3D" w:rsidRPr="00B80F3D">
      <w:rPr>
        <w:rFonts w:ascii="Palatino Linotype" w:hAnsi="Palatino Linotype"/>
        <w:b/>
        <w:bCs/>
        <w:noProof/>
        <w:sz w:val="20"/>
        <w:lang w:val="es-ES"/>
      </w:rPr>
      <w:t>5</w:t>
    </w:r>
    <w:r w:rsidRPr="00757B5E">
      <w:rPr>
        <w:rFonts w:ascii="Palatino Linotype" w:hAnsi="Palatino Linotype"/>
        <w:b/>
        <w:bCs/>
        <w:sz w:val="20"/>
      </w:rPr>
      <w:fldChar w:fldCharType="end"/>
    </w:r>
  </w:p>
  <w:p w:rsidR="0014359B" w:rsidRDefault="00B80F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C85" w:rsidRDefault="007A2C85" w:rsidP="00453476">
      <w:r>
        <w:separator/>
      </w:r>
    </w:p>
  </w:footnote>
  <w:footnote w:type="continuationSeparator" w:id="0">
    <w:p w:rsidR="007A2C85" w:rsidRDefault="007A2C85" w:rsidP="00453476">
      <w:r>
        <w:continuationSeparator/>
      </w:r>
    </w:p>
  </w:footnote>
  <w:footnote w:id="1">
    <w:p w:rsidR="0028718B" w:rsidRPr="0028718B" w:rsidRDefault="0028718B" w:rsidP="0028718B">
      <w:pPr>
        <w:pStyle w:val="Textonotapie"/>
        <w:jc w:val="both"/>
        <w:rPr>
          <w:rFonts w:ascii="Palatino Linotype" w:hAnsi="Palatino Linotype"/>
          <w:lang w:val="es-MX"/>
        </w:rPr>
      </w:pPr>
      <w:r w:rsidRPr="0028718B">
        <w:rPr>
          <w:rStyle w:val="Refdenotaalpie"/>
          <w:rFonts w:ascii="Palatino Linotype" w:hAnsi="Palatino Linotype"/>
        </w:rPr>
        <w:footnoteRef/>
      </w:r>
      <w:r w:rsidRPr="0028718B">
        <w:rPr>
          <w:rFonts w:ascii="Palatino Linotype" w:hAnsi="Palatino Linotype"/>
        </w:rPr>
        <w:t xml:space="preserve"> “</w:t>
      </w:r>
      <w:r w:rsidRPr="0028718B">
        <w:rPr>
          <w:rFonts w:ascii="Palatino Linotype" w:hAnsi="Palatino Linotype"/>
          <w:b/>
        </w:rPr>
        <w:t>Artículo 36</w:t>
      </w:r>
      <w:r w:rsidRPr="0028718B">
        <w:rPr>
          <w:rFonts w:ascii="Palatino Linotype" w:hAnsi="Palatino Linotype"/>
        </w:rPr>
        <w:t>. Los órganos internos de control constituyen unidades administrativas dentro de la estructura orgánica dentro de la Dependencia y Organismo Auxiliar en que se encuentren adscritos.”</w:t>
      </w:r>
    </w:p>
  </w:footnote>
  <w:footnote w:id="2">
    <w:p w:rsidR="00D31F16" w:rsidRDefault="00D31F16" w:rsidP="00D31F16">
      <w:pPr>
        <w:pStyle w:val="Textonotapie"/>
        <w:jc w:val="both"/>
        <w:rPr>
          <w:rFonts w:ascii="Palatino Linotype" w:hAnsi="Palatino Linotype"/>
          <w:i/>
        </w:rPr>
      </w:pPr>
      <w:r w:rsidRPr="00D31F16">
        <w:rPr>
          <w:rStyle w:val="Refdenotaalpie"/>
          <w:rFonts w:ascii="Palatino Linotype" w:hAnsi="Palatino Linotype"/>
          <w:i/>
        </w:rPr>
        <w:footnoteRef/>
      </w:r>
      <w:r w:rsidRPr="00D31F16">
        <w:rPr>
          <w:rFonts w:ascii="Palatino Linotype" w:hAnsi="Palatino Linotype"/>
          <w:i/>
        </w:rPr>
        <w:t xml:space="preserve"> </w:t>
      </w:r>
      <w:r w:rsidRPr="00D31F16">
        <w:rPr>
          <w:rFonts w:ascii="Palatino Linotype" w:hAnsi="Palatino Linotype"/>
          <w:b/>
          <w:i/>
        </w:rPr>
        <w:t>Artículo 12.</w:t>
      </w:r>
      <w:r w:rsidRPr="00D31F1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D31F16" w:rsidRPr="00D31F16" w:rsidRDefault="00D31F16" w:rsidP="00D31F16">
      <w:pPr>
        <w:pStyle w:val="Textonotapie"/>
        <w:jc w:val="both"/>
        <w:rPr>
          <w:rFonts w:ascii="Palatino Linotype" w:hAnsi="Palatino Linotype"/>
          <w:i/>
        </w:rPr>
      </w:pPr>
    </w:p>
    <w:p w:rsidR="00D31F16" w:rsidRPr="00D31F16" w:rsidRDefault="00D31F16" w:rsidP="00D31F16">
      <w:pPr>
        <w:pStyle w:val="Textonotapie"/>
        <w:jc w:val="both"/>
        <w:rPr>
          <w:lang w:val="es-MX"/>
        </w:rPr>
      </w:pPr>
      <w:r w:rsidRPr="00D31F1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31F16">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59B" w:rsidRDefault="0060612E" w:rsidP="0014359B">
    <w:pPr>
      <w:pStyle w:val="Encabezado"/>
      <w:tabs>
        <w:tab w:val="clear" w:pos="4252"/>
        <w:tab w:val="clear" w:pos="8504"/>
        <w:tab w:val="left" w:pos="2114"/>
      </w:tabs>
    </w:pPr>
    <w:r>
      <w:rPr>
        <w:noProof/>
        <w:lang w:val="es-MX" w:eastAsia="es-MX"/>
      </w:rPr>
      <w:drawing>
        <wp:anchor distT="0" distB="0" distL="114300" distR="114300" simplePos="0" relativeHeight="251657216" behindDoc="1" locked="0" layoutInCell="1" allowOverlap="1" wp14:anchorId="7244D689" wp14:editId="55E744C6">
          <wp:simplePos x="0" y="0"/>
          <wp:positionH relativeFrom="margin">
            <wp:align>center</wp:align>
          </wp:positionH>
          <wp:positionV relativeFrom="paragraph">
            <wp:posOffset>-408305</wp:posOffset>
          </wp:positionV>
          <wp:extent cx="7658100" cy="997394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jpg"/>
                  <pic:cNvPicPr/>
                </pic:nvPicPr>
                <pic:blipFill>
                  <a:blip r:embed="rId1">
                    <a:extLst>
                      <a:ext uri="{28A0092B-C50C-407E-A947-70E740481C1C}">
                        <a14:useLocalDpi xmlns:a14="http://schemas.microsoft.com/office/drawing/2010/main" val="0"/>
                      </a:ext>
                    </a:extLst>
                  </a:blip>
                  <a:stretch>
                    <a:fillRect/>
                  </a:stretch>
                </pic:blipFill>
                <pic:spPr>
                  <a:xfrm>
                    <a:off x="0" y="0"/>
                    <a:ext cx="7658100" cy="99739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80F3D">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382673" o:spid="_x0000_s2049" type="#_x0000_t136" style="position:absolute;margin-left:0;margin-top:0;width:564.1pt;height:65.05pt;rotation:315;z-index:-251658240;mso-position-horizontal:center;mso-position-horizontal-relative:margin;mso-position-vertical:center;mso-position-vertical-relative:margin" o:allowincell="f" fillcolor="#ffc9c9" stroked="f">
          <v:fill opacity=".5"/>
          <v:textpath style="font-family:&quot;Calibri&quot;;font-size:1pt;font-weight:bold" string="VOTO PARTICULAR CONCUERRENTE"/>
          <w10:wrap anchorx="margin" anchory="margin"/>
        </v:shape>
      </w:pict>
    </w:r>
    <w:r>
      <w:tab/>
    </w:r>
  </w:p>
  <w:p w:rsidR="0014359B" w:rsidRDefault="00B80F3D" w:rsidP="0014359B">
    <w:pPr>
      <w:pStyle w:val="Encabezado"/>
      <w:tabs>
        <w:tab w:val="clear" w:pos="4252"/>
        <w:tab w:val="clear" w:pos="8504"/>
        <w:tab w:val="left" w:pos="2114"/>
      </w:tabs>
    </w:pPr>
  </w:p>
  <w:p w:rsidR="0014359B" w:rsidRDefault="00B80F3D" w:rsidP="0014359B">
    <w:pPr>
      <w:pStyle w:val="Encabezado"/>
      <w:tabs>
        <w:tab w:val="clear" w:pos="4252"/>
        <w:tab w:val="clear" w:pos="8504"/>
        <w:tab w:val="left" w:pos="2114"/>
      </w:tabs>
    </w:pPr>
  </w:p>
  <w:p w:rsidR="00757B5E" w:rsidRDefault="0060612E" w:rsidP="00757B5E">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6A4CD5">
      <w:rPr>
        <w:rFonts w:ascii="Palatino Linotype" w:hAnsi="Palatino Linotype" w:cs="Arial"/>
        <w:b/>
        <w:sz w:val="20"/>
        <w:szCs w:val="20"/>
      </w:rPr>
      <w:t xml:space="preserve"> CONCURRENTE</w:t>
    </w:r>
  </w:p>
  <w:p w:rsidR="006A4CD5" w:rsidRPr="006A4CD5" w:rsidRDefault="006A4CD5" w:rsidP="00757B5E">
    <w:pPr>
      <w:pStyle w:val="Encabezado"/>
      <w:jc w:val="right"/>
      <w:rPr>
        <w:rFonts w:ascii="Palatino Linotype" w:hAnsi="Palatino Linotype" w:cs="Arial"/>
        <w:b/>
        <w:sz w:val="16"/>
        <w:szCs w:val="20"/>
      </w:rPr>
    </w:pPr>
  </w:p>
  <w:p w:rsidR="00757B5E" w:rsidRPr="00563D0F" w:rsidRDefault="0060612E" w:rsidP="00757B5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bCs/>
        <w:sz w:val="22"/>
        <w:szCs w:val="22"/>
        <w:lang w:eastAsia="es-MX"/>
      </w:rPr>
      <w:t>0</w:t>
    </w:r>
    <w:r w:rsidR="00453476">
      <w:rPr>
        <w:rFonts w:ascii="Palatino Linotype" w:hAnsi="Palatino Linotype" w:cs="Arial"/>
        <w:b/>
        <w:bCs/>
        <w:sz w:val="22"/>
        <w:szCs w:val="22"/>
        <w:lang w:eastAsia="es-MX"/>
      </w:rPr>
      <w:t>4231/INFOEM/IP/RR/2018</w:t>
    </w:r>
  </w:p>
  <w:p w:rsidR="0014359B" w:rsidRPr="006A4CD5" w:rsidRDefault="00B80F3D" w:rsidP="0014359B">
    <w:pPr>
      <w:pStyle w:val="Encabezado"/>
      <w:tabs>
        <w:tab w:val="clear" w:pos="4252"/>
        <w:tab w:val="clear" w:pos="8504"/>
        <w:tab w:val="left" w:pos="211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76"/>
    <w:rsid w:val="00047BE7"/>
    <w:rsid w:val="000D3286"/>
    <w:rsid w:val="000D5785"/>
    <w:rsid w:val="0028718B"/>
    <w:rsid w:val="00395AF7"/>
    <w:rsid w:val="004275F4"/>
    <w:rsid w:val="00453476"/>
    <w:rsid w:val="00480D37"/>
    <w:rsid w:val="00601667"/>
    <w:rsid w:val="0060612E"/>
    <w:rsid w:val="006A4CD5"/>
    <w:rsid w:val="007A2C85"/>
    <w:rsid w:val="00A174C2"/>
    <w:rsid w:val="00A36874"/>
    <w:rsid w:val="00B80F3D"/>
    <w:rsid w:val="00C10B08"/>
    <w:rsid w:val="00CC72ED"/>
    <w:rsid w:val="00D31F16"/>
    <w:rsid w:val="00D94B5F"/>
    <w:rsid w:val="00DF0079"/>
    <w:rsid w:val="00F763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C33E3A7-7C69-453F-A17F-DD36C10D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76"/>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476"/>
    <w:pPr>
      <w:tabs>
        <w:tab w:val="center" w:pos="4252"/>
        <w:tab w:val="right" w:pos="8504"/>
      </w:tabs>
    </w:pPr>
  </w:style>
  <w:style w:type="character" w:customStyle="1" w:styleId="EncabezadoCar">
    <w:name w:val="Encabezado Car"/>
    <w:basedOn w:val="Fuentedeprrafopredeter"/>
    <w:link w:val="Encabezado"/>
    <w:uiPriority w:val="99"/>
    <w:rsid w:val="00453476"/>
    <w:rPr>
      <w:rFonts w:eastAsiaTheme="minorEastAsia"/>
      <w:sz w:val="24"/>
      <w:szCs w:val="24"/>
      <w:lang w:val="es-ES_tradnl" w:eastAsia="es-ES"/>
    </w:rPr>
  </w:style>
  <w:style w:type="paragraph" w:styleId="Piedepgina">
    <w:name w:val="footer"/>
    <w:basedOn w:val="Normal"/>
    <w:link w:val="PiedepginaCar"/>
    <w:uiPriority w:val="99"/>
    <w:unhideWhenUsed/>
    <w:rsid w:val="00453476"/>
    <w:pPr>
      <w:tabs>
        <w:tab w:val="center" w:pos="4252"/>
        <w:tab w:val="right" w:pos="8504"/>
      </w:tabs>
    </w:pPr>
  </w:style>
  <w:style w:type="character" w:customStyle="1" w:styleId="PiedepginaCar">
    <w:name w:val="Pie de página Car"/>
    <w:basedOn w:val="Fuentedeprrafopredeter"/>
    <w:link w:val="Piedepgina"/>
    <w:uiPriority w:val="99"/>
    <w:rsid w:val="00453476"/>
    <w:rPr>
      <w:rFonts w:eastAsiaTheme="minorEastAsia"/>
      <w:sz w:val="24"/>
      <w:szCs w:val="24"/>
      <w:lang w:val="es-ES_tradnl" w:eastAsia="es-ES"/>
    </w:rPr>
  </w:style>
  <w:style w:type="table" w:styleId="Tablaconcuadrcula">
    <w:name w:val="Table Grid"/>
    <w:basedOn w:val="Tablanormal"/>
    <w:uiPriority w:val="59"/>
    <w:rsid w:val="0045347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8718B"/>
    <w:rPr>
      <w:sz w:val="20"/>
      <w:szCs w:val="20"/>
    </w:rPr>
  </w:style>
  <w:style w:type="character" w:customStyle="1" w:styleId="TextonotapieCar">
    <w:name w:val="Texto nota pie Car"/>
    <w:basedOn w:val="Fuentedeprrafopredeter"/>
    <w:link w:val="Textonotapie"/>
    <w:uiPriority w:val="99"/>
    <w:semiHidden/>
    <w:rsid w:val="0028718B"/>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8718B"/>
    <w:rPr>
      <w:vertAlign w:val="superscript"/>
    </w:rPr>
  </w:style>
  <w:style w:type="paragraph" w:styleId="Textodeglobo">
    <w:name w:val="Balloon Text"/>
    <w:basedOn w:val="Normal"/>
    <w:link w:val="TextodegloboCar"/>
    <w:uiPriority w:val="99"/>
    <w:semiHidden/>
    <w:unhideWhenUsed/>
    <w:rsid w:val="00047B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BE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2019-02-07T19:00:00Z</cp:lastPrinted>
  <dcterms:created xsi:type="dcterms:W3CDTF">2019-02-26T23:11:00Z</dcterms:created>
  <dcterms:modified xsi:type="dcterms:W3CDTF">2019-02-26T23:11:00Z</dcterms:modified>
</cp:coreProperties>
</file>